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FBE2E" w14:textId="77777777" w:rsidR="00041AF2" w:rsidRDefault="00195482">
      <w:pPr>
        <w:spacing w:line="360" w:lineRule="auto"/>
        <w:rPr>
          <w:sz w:val="23"/>
          <w:szCs w:val="23"/>
        </w:rPr>
      </w:pPr>
      <w:r>
        <w:rPr>
          <w:noProof/>
          <w:sz w:val="23"/>
          <w:szCs w:val="23"/>
        </w:rPr>
        <w:drawing>
          <wp:inline distT="0" distB="0" distL="0" distR="0" wp14:anchorId="6EADD0E9" wp14:editId="1D345D2D">
            <wp:extent cx="3175000" cy="520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175000" cy="520700"/>
                    </a:xfrm>
                    <a:prstGeom prst="rect">
                      <a:avLst/>
                    </a:prstGeom>
                    <a:ln/>
                  </pic:spPr>
                </pic:pic>
              </a:graphicData>
            </a:graphic>
          </wp:inline>
        </w:drawing>
      </w:r>
    </w:p>
    <w:p w14:paraId="5FCFDFBF" w14:textId="77777777" w:rsidR="00041AF2" w:rsidRDefault="00041AF2">
      <w:pPr>
        <w:spacing w:line="360" w:lineRule="auto"/>
        <w:jc w:val="center"/>
        <w:rPr>
          <w:sz w:val="23"/>
          <w:szCs w:val="23"/>
        </w:rPr>
      </w:pPr>
    </w:p>
    <w:p w14:paraId="44C797F3" w14:textId="77777777" w:rsidR="00041AF2" w:rsidRPr="000D7BD5" w:rsidRDefault="00195482">
      <w:pPr>
        <w:tabs>
          <w:tab w:val="left" w:pos="8820"/>
        </w:tabs>
        <w:spacing w:line="360" w:lineRule="auto"/>
        <w:ind w:right="90"/>
        <w:rPr>
          <w:rFonts w:ascii="Arial" w:eastAsia="Arial" w:hAnsi="Arial" w:cs="Arial"/>
          <w:b/>
          <w:color w:val="000000" w:themeColor="text1"/>
        </w:rPr>
      </w:pPr>
      <w:r w:rsidRPr="000D7BD5">
        <w:rPr>
          <w:rFonts w:ascii="Arial" w:eastAsia="Arial" w:hAnsi="Arial" w:cs="Arial"/>
          <w:b/>
          <w:color w:val="000000" w:themeColor="text1"/>
        </w:rPr>
        <w:t>MEDIA CONTACT</w:t>
      </w:r>
    </w:p>
    <w:p w14:paraId="381D1EE4" w14:textId="1A85EEFF" w:rsidR="00041AF2" w:rsidRPr="000D7BD5" w:rsidRDefault="00195482">
      <w:pPr>
        <w:tabs>
          <w:tab w:val="left" w:pos="8820"/>
        </w:tabs>
        <w:spacing w:line="360" w:lineRule="auto"/>
        <w:ind w:right="90"/>
        <w:rPr>
          <w:rFonts w:ascii="Arial" w:eastAsia="Arial" w:hAnsi="Arial" w:cs="Arial"/>
          <w:color w:val="000000" w:themeColor="text1"/>
        </w:rPr>
      </w:pPr>
      <w:r w:rsidRPr="000D7BD5">
        <w:rPr>
          <w:rFonts w:ascii="Arial" w:eastAsia="Arial" w:hAnsi="Arial" w:cs="Arial"/>
          <w:color w:val="000000" w:themeColor="text1"/>
        </w:rPr>
        <w:t>Su Byron; subyron@</w:t>
      </w:r>
      <w:r w:rsidR="000D7BD5">
        <w:rPr>
          <w:rFonts w:ascii="Arial" w:eastAsia="Arial" w:hAnsi="Arial" w:cs="Arial"/>
          <w:color w:val="000000" w:themeColor="text1"/>
        </w:rPr>
        <w:t>hermitage-fl.org</w:t>
      </w:r>
      <w:bookmarkStart w:id="0" w:name="_GoBack"/>
      <w:bookmarkEnd w:id="0"/>
    </w:p>
    <w:p w14:paraId="5036F3F5" w14:textId="77777777" w:rsidR="00041AF2" w:rsidRPr="000D7BD5" w:rsidRDefault="00041AF2">
      <w:pPr>
        <w:tabs>
          <w:tab w:val="left" w:pos="8820"/>
        </w:tabs>
        <w:spacing w:line="360" w:lineRule="auto"/>
        <w:ind w:right="90"/>
        <w:jc w:val="center"/>
        <w:rPr>
          <w:rFonts w:ascii="Arial" w:eastAsia="Arial" w:hAnsi="Arial" w:cs="Arial"/>
          <w:b/>
          <w:color w:val="000000" w:themeColor="text1"/>
          <w:sz w:val="32"/>
          <w:szCs w:val="32"/>
        </w:rPr>
      </w:pPr>
    </w:p>
    <w:p w14:paraId="6739E3C1" w14:textId="77777777" w:rsidR="00041AF2" w:rsidRPr="000D7BD5" w:rsidRDefault="00195482">
      <w:pPr>
        <w:tabs>
          <w:tab w:val="left" w:pos="8820"/>
        </w:tabs>
        <w:spacing w:line="360" w:lineRule="auto"/>
        <w:ind w:right="90"/>
        <w:jc w:val="center"/>
        <w:rPr>
          <w:rFonts w:ascii="Arial" w:eastAsia="Arial" w:hAnsi="Arial" w:cs="Arial"/>
          <w:b/>
          <w:color w:val="000000" w:themeColor="text1"/>
          <w:sz w:val="32"/>
          <w:szCs w:val="32"/>
        </w:rPr>
      </w:pPr>
      <w:r w:rsidRPr="000D7BD5">
        <w:rPr>
          <w:rFonts w:ascii="Arial" w:eastAsia="Arial" w:hAnsi="Arial" w:cs="Arial"/>
          <w:b/>
          <w:color w:val="000000" w:themeColor="text1"/>
          <w:sz w:val="32"/>
          <w:szCs w:val="32"/>
        </w:rPr>
        <w:t>Hermitage Artist Retreat Announces</w:t>
      </w:r>
    </w:p>
    <w:p w14:paraId="32E35694" w14:textId="77777777" w:rsidR="00041AF2" w:rsidRPr="000D7BD5" w:rsidRDefault="00195482">
      <w:pPr>
        <w:tabs>
          <w:tab w:val="left" w:pos="8820"/>
        </w:tabs>
        <w:spacing w:line="360" w:lineRule="auto"/>
        <w:ind w:right="90"/>
        <w:jc w:val="center"/>
        <w:rPr>
          <w:rFonts w:ascii="Arial" w:eastAsia="Arial" w:hAnsi="Arial" w:cs="Arial"/>
          <w:b/>
          <w:color w:val="000000" w:themeColor="text1"/>
          <w:sz w:val="32"/>
          <w:szCs w:val="32"/>
        </w:rPr>
      </w:pPr>
      <w:r w:rsidRPr="000D7BD5">
        <w:rPr>
          <w:rFonts w:ascii="Arial" w:eastAsia="Arial" w:hAnsi="Arial" w:cs="Arial"/>
          <w:b/>
          <w:color w:val="000000" w:themeColor="text1"/>
          <w:sz w:val="32"/>
          <w:szCs w:val="32"/>
        </w:rPr>
        <w:t>Keynote Speaker for 2019 Muse Luncheon:</w:t>
      </w:r>
    </w:p>
    <w:p w14:paraId="567D4215" w14:textId="77777777" w:rsidR="00041AF2" w:rsidRPr="000D7BD5" w:rsidRDefault="00195482">
      <w:pPr>
        <w:tabs>
          <w:tab w:val="left" w:pos="8820"/>
        </w:tabs>
        <w:spacing w:line="360" w:lineRule="auto"/>
        <w:ind w:right="90"/>
        <w:jc w:val="center"/>
        <w:rPr>
          <w:rFonts w:ascii="Arial" w:eastAsia="Arial" w:hAnsi="Arial" w:cs="Arial"/>
          <w:b/>
          <w:color w:val="1F497D" w:themeColor="text2"/>
          <w:sz w:val="32"/>
          <w:szCs w:val="32"/>
        </w:rPr>
      </w:pPr>
      <w:r w:rsidRPr="000D7BD5">
        <w:rPr>
          <w:rFonts w:ascii="Arial" w:eastAsia="Arial" w:hAnsi="Arial" w:cs="Arial"/>
          <w:b/>
          <w:color w:val="1F497D" w:themeColor="text2"/>
          <w:sz w:val="32"/>
          <w:szCs w:val="32"/>
        </w:rPr>
        <w:t xml:space="preserve">Actor, Author, and Social Activist Ali </w:t>
      </w:r>
      <w:proofErr w:type="spellStart"/>
      <w:r w:rsidRPr="000D7BD5">
        <w:rPr>
          <w:rFonts w:ascii="Arial" w:eastAsia="Arial" w:hAnsi="Arial" w:cs="Arial"/>
          <w:b/>
          <w:color w:val="1F497D" w:themeColor="text2"/>
          <w:sz w:val="32"/>
          <w:szCs w:val="32"/>
        </w:rPr>
        <w:t>MacGraw</w:t>
      </w:r>
      <w:proofErr w:type="spellEnd"/>
    </w:p>
    <w:p w14:paraId="1E5D0310" w14:textId="77777777" w:rsidR="00041AF2" w:rsidRPr="000D7BD5" w:rsidRDefault="00195482">
      <w:pPr>
        <w:tabs>
          <w:tab w:val="left" w:pos="8820"/>
        </w:tabs>
        <w:spacing w:line="360" w:lineRule="auto"/>
        <w:ind w:right="90"/>
        <w:jc w:val="center"/>
        <w:rPr>
          <w:rFonts w:ascii="Arial" w:eastAsia="Arial" w:hAnsi="Arial" w:cs="Arial"/>
          <w:b/>
          <w:color w:val="000000" w:themeColor="text1"/>
          <w:sz w:val="28"/>
          <w:szCs w:val="28"/>
        </w:rPr>
      </w:pPr>
      <w:r w:rsidRPr="000D7BD5">
        <w:rPr>
          <w:rFonts w:ascii="Arial" w:eastAsia="Arial" w:hAnsi="Arial" w:cs="Arial"/>
          <w:b/>
          <w:color w:val="000000" w:themeColor="text1"/>
          <w:sz w:val="28"/>
          <w:szCs w:val="28"/>
        </w:rPr>
        <w:t>Tuesday, January 22, at Michael’s On East</w:t>
      </w:r>
    </w:p>
    <w:p w14:paraId="714B31B6" w14:textId="77777777" w:rsidR="00041AF2" w:rsidRPr="000D7BD5" w:rsidRDefault="00195482">
      <w:pPr>
        <w:tabs>
          <w:tab w:val="left" w:pos="8820"/>
        </w:tabs>
        <w:spacing w:line="360" w:lineRule="auto"/>
        <w:ind w:right="90"/>
        <w:jc w:val="center"/>
        <w:rPr>
          <w:rFonts w:ascii="Arial" w:eastAsia="Arial" w:hAnsi="Arial" w:cs="Arial"/>
          <w:i/>
          <w:strike/>
          <w:color w:val="000000" w:themeColor="text1"/>
        </w:rPr>
      </w:pPr>
      <w:bookmarkStart w:id="1" w:name="_gjdgxs" w:colFirst="0" w:colLast="0"/>
      <w:bookmarkEnd w:id="1"/>
      <w:r w:rsidRPr="000D7BD5">
        <w:rPr>
          <w:rFonts w:ascii="Arial" w:eastAsia="Arial" w:hAnsi="Arial" w:cs="Arial"/>
          <w:i/>
          <w:color w:val="000000" w:themeColor="text1"/>
        </w:rPr>
        <w:t>The iconic actor who gave America “a new kind of heroine” will share moments of her journey from Hollywood and the fashion industry, to her current passion as a social activist.</w:t>
      </w:r>
    </w:p>
    <w:p w14:paraId="6CBEF618" w14:textId="77777777" w:rsidR="00041AF2" w:rsidRPr="000D7BD5" w:rsidRDefault="00041AF2">
      <w:pPr>
        <w:tabs>
          <w:tab w:val="left" w:pos="8820"/>
        </w:tabs>
        <w:spacing w:line="480" w:lineRule="auto"/>
        <w:ind w:right="90"/>
        <w:rPr>
          <w:rFonts w:ascii="Arial" w:eastAsia="Arial" w:hAnsi="Arial" w:cs="Arial"/>
          <w:color w:val="000000" w:themeColor="text1"/>
        </w:rPr>
      </w:pPr>
    </w:p>
    <w:p w14:paraId="74F3F4F8" w14:textId="31DFC008" w:rsidR="00041AF2" w:rsidRPr="000D7BD5" w:rsidRDefault="00195482">
      <w:pPr>
        <w:tabs>
          <w:tab w:val="left" w:pos="8820"/>
        </w:tabs>
        <w:spacing w:line="480" w:lineRule="auto"/>
        <w:ind w:right="90"/>
        <w:rPr>
          <w:rFonts w:ascii="Arial" w:eastAsia="Arial" w:hAnsi="Arial" w:cs="Arial"/>
          <w:color w:val="000000" w:themeColor="text1"/>
        </w:rPr>
      </w:pPr>
      <w:r w:rsidRPr="000D7BD5">
        <w:rPr>
          <w:rFonts w:ascii="Arial" w:eastAsia="Arial" w:hAnsi="Arial" w:cs="Arial"/>
          <w:color w:val="000000" w:themeColor="text1"/>
        </w:rPr>
        <w:t xml:space="preserve">(Sarasota County) The Hermitage Artist Retreat recently announced that the keynote speaker for this year’s Muse Luncheon will be acclaimed actor, author, and activist Ali </w:t>
      </w:r>
      <w:proofErr w:type="spellStart"/>
      <w:r w:rsidRPr="000D7BD5">
        <w:rPr>
          <w:rFonts w:ascii="Arial" w:eastAsia="Arial" w:hAnsi="Arial" w:cs="Arial"/>
          <w:color w:val="000000" w:themeColor="text1"/>
        </w:rPr>
        <w:t>MacGraw</w:t>
      </w:r>
      <w:proofErr w:type="spellEnd"/>
      <w:r w:rsidRPr="000D7BD5">
        <w:rPr>
          <w:rFonts w:ascii="Arial" w:eastAsia="Arial" w:hAnsi="Arial" w:cs="Arial"/>
          <w:color w:val="000000" w:themeColor="text1"/>
        </w:rPr>
        <w:t xml:space="preserve">. The event is Tuesday, January 22, 2019, 11 a.m.-1:30 p.m., Michael’s On East, 1212 S. East Avenue, Sarasota. </w:t>
      </w:r>
      <w:proofErr w:type="spellStart"/>
      <w:r w:rsidRPr="000D7BD5">
        <w:rPr>
          <w:rFonts w:ascii="Arial" w:eastAsia="Arial" w:hAnsi="Arial" w:cs="Arial"/>
          <w:color w:val="000000" w:themeColor="text1"/>
        </w:rPr>
        <w:t>MacGraw</w:t>
      </w:r>
      <w:proofErr w:type="spellEnd"/>
      <w:r w:rsidRPr="000D7BD5">
        <w:rPr>
          <w:rFonts w:ascii="Arial" w:eastAsia="Arial" w:hAnsi="Arial" w:cs="Arial"/>
          <w:color w:val="000000" w:themeColor="text1"/>
        </w:rPr>
        <w:t xml:space="preserve"> will speak about her years in the film and fashion industry and her involvement in philanthropy and social issues. Since 2016, the Muse Luncheon features a well-known American artist as the keynote speaker whose career has served as an inspiration and beacon to others. All proceeds are contributed to the Hermitage’s Endowment Fund. Ticket prices begin at $125 and may be reserved online at HermitageArtistRetreat.org, or by contacting Craig Badinger, development dir</w:t>
      </w:r>
      <w:r w:rsidR="000D7BD5">
        <w:rPr>
          <w:rFonts w:ascii="Arial" w:eastAsia="Arial" w:hAnsi="Arial" w:cs="Arial"/>
          <w:color w:val="000000" w:themeColor="text1"/>
        </w:rPr>
        <w:t xml:space="preserve">ector, 941-475-2098, Ext. 2, or </w:t>
      </w:r>
      <w:r w:rsidRPr="000D7BD5">
        <w:rPr>
          <w:rFonts w:ascii="Arial" w:eastAsia="Arial" w:hAnsi="Arial" w:cs="Arial"/>
          <w:color w:val="000000" w:themeColor="text1"/>
        </w:rPr>
        <w:t>development@HermitageArtistRetreat.org.</w:t>
      </w:r>
    </w:p>
    <w:p w14:paraId="4E09D0D8" w14:textId="77777777" w:rsidR="00041AF2" w:rsidRPr="000D7BD5" w:rsidRDefault="00195482">
      <w:pPr>
        <w:tabs>
          <w:tab w:val="left" w:pos="8820"/>
        </w:tabs>
        <w:spacing w:line="480" w:lineRule="auto"/>
        <w:ind w:right="90" w:firstLine="720"/>
        <w:rPr>
          <w:rFonts w:ascii="Arial" w:eastAsia="Arial" w:hAnsi="Arial" w:cs="Arial"/>
          <w:color w:val="000000" w:themeColor="text1"/>
        </w:rPr>
      </w:pPr>
      <w:r w:rsidRPr="000D7BD5">
        <w:rPr>
          <w:rFonts w:ascii="Arial" w:eastAsia="Arial" w:hAnsi="Arial" w:cs="Arial"/>
          <w:color w:val="000000" w:themeColor="text1"/>
        </w:rPr>
        <w:lastRenderedPageBreak/>
        <w:t xml:space="preserve">“The Muse Luncheon is about inspiration,” said Bruce Rodgers, executive director of the Hermitage, “and Ali </w:t>
      </w:r>
      <w:proofErr w:type="spellStart"/>
      <w:r w:rsidRPr="000D7BD5">
        <w:rPr>
          <w:rFonts w:ascii="Arial" w:eastAsia="Arial" w:hAnsi="Arial" w:cs="Arial"/>
          <w:color w:val="000000" w:themeColor="text1"/>
        </w:rPr>
        <w:t>MacGraw</w:t>
      </w:r>
      <w:proofErr w:type="spellEnd"/>
      <w:r w:rsidRPr="000D7BD5">
        <w:rPr>
          <w:rFonts w:ascii="Arial" w:eastAsia="Arial" w:hAnsi="Arial" w:cs="Arial"/>
          <w:color w:val="000000" w:themeColor="text1"/>
        </w:rPr>
        <w:t xml:space="preserve"> has been on an inspiring journey her whole life, much of which has been out of the glare of the Hollywood spotlight. I can’t wait for our community to meet who Ali is now, and to find their own inspiration in her story.”  </w:t>
      </w:r>
    </w:p>
    <w:p w14:paraId="699DC6F5" w14:textId="77777777" w:rsidR="00041AF2" w:rsidRPr="000D7BD5" w:rsidRDefault="00195482">
      <w:pPr>
        <w:tabs>
          <w:tab w:val="left" w:pos="8820"/>
        </w:tabs>
        <w:spacing w:line="480" w:lineRule="auto"/>
        <w:ind w:right="187" w:firstLine="720"/>
        <w:rPr>
          <w:rFonts w:ascii="Arial" w:eastAsia="Arial" w:hAnsi="Arial" w:cs="Arial"/>
          <w:color w:val="000000" w:themeColor="text1"/>
        </w:rPr>
      </w:pPr>
      <w:bookmarkStart w:id="2" w:name="_30j0zll" w:colFirst="0" w:colLast="0"/>
      <w:bookmarkEnd w:id="2"/>
      <w:r w:rsidRPr="000D7BD5">
        <w:rPr>
          <w:rFonts w:ascii="Arial" w:eastAsia="Arial" w:hAnsi="Arial" w:cs="Arial"/>
          <w:color w:val="000000" w:themeColor="text1"/>
        </w:rPr>
        <w:t xml:space="preserve">Ali </w:t>
      </w:r>
      <w:proofErr w:type="spellStart"/>
      <w:r w:rsidRPr="000D7BD5">
        <w:rPr>
          <w:rFonts w:ascii="Arial" w:eastAsia="Arial" w:hAnsi="Arial" w:cs="Arial"/>
          <w:color w:val="000000" w:themeColor="text1"/>
        </w:rPr>
        <w:t>MacGraw</w:t>
      </w:r>
      <w:proofErr w:type="spellEnd"/>
      <w:r w:rsidRPr="000D7BD5">
        <w:rPr>
          <w:rFonts w:ascii="Arial" w:eastAsia="Arial" w:hAnsi="Arial" w:cs="Arial"/>
          <w:color w:val="000000" w:themeColor="text1"/>
        </w:rPr>
        <w:t xml:space="preserve"> graduated from Wellesley College and began her professional career in 1960 as Diana Vreeland's assistant at Harper's Bazaar. After leaving Harper's Bazaar, she went to work as a stylist for fashion photographer Melvin Sokolsky in New York for six years.</w:t>
      </w:r>
    </w:p>
    <w:p w14:paraId="64E692B2" w14:textId="77777777" w:rsidR="00041AF2" w:rsidRPr="000D7BD5" w:rsidRDefault="00195482">
      <w:pPr>
        <w:tabs>
          <w:tab w:val="left" w:pos="8820"/>
        </w:tabs>
        <w:spacing w:line="480" w:lineRule="auto"/>
        <w:ind w:right="187" w:firstLine="720"/>
        <w:rPr>
          <w:rFonts w:ascii="Arial" w:eastAsia="Arial" w:hAnsi="Arial" w:cs="Arial"/>
          <w:color w:val="000000" w:themeColor="text1"/>
        </w:rPr>
      </w:pPr>
      <w:proofErr w:type="spellStart"/>
      <w:r w:rsidRPr="000D7BD5">
        <w:rPr>
          <w:rFonts w:ascii="Arial" w:eastAsia="Arial" w:hAnsi="Arial" w:cs="Arial"/>
          <w:color w:val="000000" w:themeColor="text1"/>
        </w:rPr>
        <w:t>MacGraw’s</w:t>
      </w:r>
      <w:proofErr w:type="spellEnd"/>
      <w:r w:rsidRPr="000D7BD5">
        <w:rPr>
          <w:rFonts w:ascii="Arial" w:eastAsia="Arial" w:hAnsi="Arial" w:cs="Arial"/>
          <w:color w:val="000000" w:themeColor="text1"/>
        </w:rPr>
        <w:t xml:space="preserve"> acting career began when producer Stanley R. Jaffe and director Larry Peerce offered her the leading role of Brenda </w:t>
      </w:r>
      <w:proofErr w:type="spellStart"/>
      <w:r w:rsidRPr="000D7BD5">
        <w:rPr>
          <w:rFonts w:ascii="Arial" w:eastAsia="Arial" w:hAnsi="Arial" w:cs="Arial"/>
          <w:color w:val="000000" w:themeColor="text1"/>
        </w:rPr>
        <w:t>Patamkin</w:t>
      </w:r>
      <w:proofErr w:type="spellEnd"/>
      <w:r w:rsidRPr="000D7BD5">
        <w:rPr>
          <w:rFonts w:ascii="Arial" w:eastAsia="Arial" w:hAnsi="Arial" w:cs="Arial"/>
          <w:color w:val="000000" w:themeColor="text1"/>
        </w:rPr>
        <w:t xml:space="preserve"> opposite Dick Benjamin in the screen version of Philip Roth's short novel, </w:t>
      </w:r>
      <w:r w:rsidRPr="000D7BD5">
        <w:rPr>
          <w:rFonts w:ascii="Arial" w:eastAsia="Arial" w:hAnsi="Arial" w:cs="Arial"/>
          <w:i/>
          <w:color w:val="000000" w:themeColor="text1"/>
        </w:rPr>
        <w:t>Goodbye Columbus</w:t>
      </w:r>
      <w:r w:rsidRPr="000D7BD5">
        <w:rPr>
          <w:rFonts w:ascii="Arial" w:eastAsia="Arial" w:hAnsi="Arial" w:cs="Arial"/>
          <w:color w:val="000000" w:themeColor="text1"/>
        </w:rPr>
        <w:t xml:space="preserve">.  Her next film was </w:t>
      </w:r>
      <w:r w:rsidRPr="000D7BD5">
        <w:rPr>
          <w:rFonts w:ascii="Arial" w:eastAsia="Arial" w:hAnsi="Arial" w:cs="Arial"/>
          <w:i/>
          <w:color w:val="000000" w:themeColor="text1"/>
        </w:rPr>
        <w:t>Love Story</w:t>
      </w:r>
      <w:r w:rsidRPr="000D7BD5">
        <w:rPr>
          <w:rFonts w:ascii="Arial" w:eastAsia="Arial" w:hAnsi="Arial" w:cs="Arial"/>
          <w:color w:val="000000" w:themeColor="text1"/>
        </w:rPr>
        <w:t xml:space="preserve">, and it proved to be her major break. An original screenplay (and later a bestselling novel) by Erich Segal, the film earned </w:t>
      </w:r>
      <w:proofErr w:type="spellStart"/>
      <w:r w:rsidRPr="000D7BD5">
        <w:rPr>
          <w:rFonts w:ascii="Arial" w:eastAsia="Arial" w:hAnsi="Arial" w:cs="Arial"/>
          <w:color w:val="000000" w:themeColor="text1"/>
        </w:rPr>
        <w:t>MacGraw</w:t>
      </w:r>
      <w:proofErr w:type="spellEnd"/>
      <w:r w:rsidRPr="000D7BD5">
        <w:rPr>
          <w:rFonts w:ascii="Arial" w:eastAsia="Arial" w:hAnsi="Arial" w:cs="Arial"/>
          <w:color w:val="000000" w:themeColor="text1"/>
        </w:rPr>
        <w:t xml:space="preserve"> international fame, an Academy Award nomination, a Golden Globe award, and many additional honors worldwide. </w:t>
      </w:r>
      <w:proofErr w:type="spellStart"/>
      <w:r w:rsidRPr="000D7BD5">
        <w:rPr>
          <w:rFonts w:ascii="Arial" w:eastAsia="Arial" w:hAnsi="Arial" w:cs="Arial"/>
          <w:color w:val="000000" w:themeColor="text1"/>
        </w:rPr>
        <w:t>MacGraw’s</w:t>
      </w:r>
      <w:proofErr w:type="spellEnd"/>
      <w:r w:rsidRPr="000D7BD5">
        <w:rPr>
          <w:rFonts w:ascii="Arial" w:eastAsia="Arial" w:hAnsi="Arial" w:cs="Arial"/>
          <w:color w:val="000000" w:themeColor="text1"/>
        </w:rPr>
        <w:t xml:space="preserve"> third film, </w:t>
      </w:r>
      <w:r w:rsidRPr="000D7BD5">
        <w:rPr>
          <w:rFonts w:ascii="Arial" w:eastAsia="Arial" w:hAnsi="Arial" w:cs="Arial"/>
          <w:i/>
          <w:color w:val="000000" w:themeColor="text1"/>
        </w:rPr>
        <w:t>The Getaway,</w:t>
      </w:r>
      <w:r w:rsidRPr="000D7BD5">
        <w:rPr>
          <w:rFonts w:ascii="Arial" w:eastAsia="Arial" w:hAnsi="Arial" w:cs="Arial"/>
          <w:color w:val="000000" w:themeColor="text1"/>
        </w:rPr>
        <w:t xml:space="preserve"> completed her trio of blockbuster films. After </w:t>
      </w:r>
      <w:proofErr w:type="gramStart"/>
      <w:r w:rsidRPr="000D7BD5">
        <w:rPr>
          <w:rFonts w:ascii="Arial" w:eastAsia="Arial" w:hAnsi="Arial" w:cs="Arial"/>
          <w:i/>
          <w:color w:val="000000" w:themeColor="text1"/>
        </w:rPr>
        <w:t>The</w:t>
      </w:r>
      <w:proofErr w:type="gramEnd"/>
      <w:r w:rsidRPr="000D7BD5">
        <w:rPr>
          <w:rFonts w:ascii="Arial" w:eastAsia="Arial" w:hAnsi="Arial" w:cs="Arial"/>
          <w:i/>
          <w:color w:val="000000" w:themeColor="text1"/>
        </w:rPr>
        <w:t xml:space="preserve"> Getaway</w:t>
      </w:r>
      <w:r w:rsidRPr="000D7BD5">
        <w:rPr>
          <w:rFonts w:ascii="Arial" w:eastAsia="Arial" w:hAnsi="Arial" w:cs="Arial"/>
          <w:color w:val="000000" w:themeColor="text1"/>
        </w:rPr>
        <w:t xml:space="preserve">, </w:t>
      </w:r>
      <w:proofErr w:type="spellStart"/>
      <w:r w:rsidRPr="000D7BD5">
        <w:rPr>
          <w:rFonts w:ascii="Arial" w:eastAsia="Arial" w:hAnsi="Arial" w:cs="Arial"/>
          <w:color w:val="000000" w:themeColor="text1"/>
        </w:rPr>
        <w:t>MacGraw</w:t>
      </w:r>
      <w:proofErr w:type="spellEnd"/>
      <w:r w:rsidRPr="000D7BD5">
        <w:rPr>
          <w:rFonts w:ascii="Arial" w:eastAsia="Arial" w:hAnsi="Arial" w:cs="Arial"/>
          <w:color w:val="000000" w:themeColor="text1"/>
        </w:rPr>
        <w:t xml:space="preserve"> took a five-year hiatus from Hollywood to raise her son Joshua, the son of Robert Evans. She returned to the screen to co-star in Sam Peckinpah's </w:t>
      </w:r>
      <w:r w:rsidRPr="000D7BD5">
        <w:rPr>
          <w:rFonts w:ascii="Arial" w:eastAsia="Arial" w:hAnsi="Arial" w:cs="Arial"/>
          <w:i/>
          <w:color w:val="000000" w:themeColor="text1"/>
        </w:rPr>
        <w:t>Convoy</w:t>
      </w:r>
      <w:r w:rsidRPr="000D7BD5">
        <w:rPr>
          <w:rFonts w:ascii="Arial" w:eastAsia="Arial" w:hAnsi="Arial" w:cs="Arial"/>
          <w:color w:val="000000" w:themeColor="text1"/>
        </w:rPr>
        <w:t xml:space="preserve">, with Kris Kristofferson. Her other film credits include </w:t>
      </w:r>
      <w:r w:rsidRPr="000D7BD5">
        <w:rPr>
          <w:rFonts w:ascii="Arial" w:eastAsia="Arial" w:hAnsi="Arial" w:cs="Arial"/>
          <w:i/>
          <w:color w:val="000000" w:themeColor="text1"/>
        </w:rPr>
        <w:t xml:space="preserve">Players </w:t>
      </w:r>
      <w:r w:rsidRPr="000D7BD5">
        <w:rPr>
          <w:rFonts w:ascii="Arial" w:eastAsia="Arial" w:hAnsi="Arial" w:cs="Arial"/>
          <w:color w:val="000000" w:themeColor="text1"/>
        </w:rPr>
        <w:t xml:space="preserve">and </w:t>
      </w:r>
      <w:r w:rsidRPr="000D7BD5">
        <w:rPr>
          <w:rFonts w:ascii="Arial" w:eastAsia="Arial" w:hAnsi="Arial" w:cs="Arial"/>
          <w:i/>
          <w:color w:val="000000" w:themeColor="text1"/>
        </w:rPr>
        <w:t>Just Tell Me What You Want,</w:t>
      </w:r>
      <w:r w:rsidRPr="000D7BD5">
        <w:rPr>
          <w:rFonts w:ascii="Arial" w:eastAsia="Arial" w:hAnsi="Arial" w:cs="Arial"/>
          <w:color w:val="000000" w:themeColor="text1"/>
        </w:rPr>
        <w:t xml:space="preserve"> and TV’s </w:t>
      </w:r>
      <w:r w:rsidRPr="000D7BD5">
        <w:rPr>
          <w:rFonts w:ascii="Arial" w:eastAsia="Arial" w:hAnsi="Arial" w:cs="Arial"/>
          <w:i/>
          <w:color w:val="000000" w:themeColor="text1"/>
        </w:rPr>
        <w:t>The Winds of War</w:t>
      </w:r>
      <w:r w:rsidRPr="000D7BD5">
        <w:rPr>
          <w:rFonts w:ascii="Arial" w:eastAsia="Arial" w:hAnsi="Arial" w:cs="Arial"/>
          <w:color w:val="000000" w:themeColor="text1"/>
        </w:rPr>
        <w:t xml:space="preserve"> and </w:t>
      </w:r>
      <w:r w:rsidRPr="000D7BD5">
        <w:rPr>
          <w:rFonts w:ascii="Arial" w:eastAsia="Arial" w:hAnsi="Arial" w:cs="Arial"/>
          <w:i/>
          <w:color w:val="000000" w:themeColor="text1"/>
        </w:rPr>
        <w:t>Dynasty</w:t>
      </w:r>
      <w:r w:rsidRPr="000D7BD5">
        <w:rPr>
          <w:rFonts w:ascii="Arial" w:eastAsia="Arial" w:hAnsi="Arial" w:cs="Arial"/>
          <w:color w:val="000000" w:themeColor="text1"/>
        </w:rPr>
        <w:t>.</w:t>
      </w:r>
    </w:p>
    <w:p w14:paraId="7C96B3DE" w14:textId="77777777" w:rsidR="00041AF2" w:rsidRPr="000D7BD5" w:rsidRDefault="00195482">
      <w:pPr>
        <w:tabs>
          <w:tab w:val="left" w:pos="8820"/>
        </w:tabs>
        <w:spacing w:line="480" w:lineRule="auto"/>
        <w:ind w:right="187" w:firstLine="720"/>
        <w:rPr>
          <w:rFonts w:ascii="Arial" w:eastAsia="Arial" w:hAnsi="Arial" w:cs="Arial"/>
          <w:color w:val="000000" w:themeColor="text1"/>
        </w:rPr>
      </w:pPr>
      <w:bookmarkStart w:id="3" w:name="_1fob9te" w:colFirst="0" w:colLast="0"/>
      <w:bookmarkEnd w:id="3"/>
      <w:proofErr w:type="spellStart"/>
      <w:r w:rsidRPr="000D7BD5">
        <w:rPr>
          <w:rFonts w:ascii="Arial" w:eastAsia="Arial" w:hAnsi="Arial" w:cs="Arial"/>
          <w:color w:val="000000" w:themeColor="text1"/>
        </w:rPr>
        <w:t>MacGraw’s</w:t>
      </w:r>
      <w:proofErr w:type="spellEnd"/>
      <w:r w:rsidRPr="000D7BD5">
        <w:rPr>
          <w:rFonts w:ascii="Arial" w:eastAsia="Arial" w:hAnsi="Arial" w:cs="Arial"/>
          <w:color w:val="000000" w:themeColor="text1"/>
        </w:rPr>
        <w:t xml:space="preserve"> autobiography, </w:t>
      </w:r>
      <w:r w:rsidRPr="000D7BD5">
        <w:rPr>
          <w:rFonts w:ascii="Arial" w:eastAsia="Arial" w:hAnsi="Arial" w:cs="Arial"/>
          <w:i/>
          <w:color w:val="000000" w:themeColor="text1"/>
        </w:rPr>
        <w:t>Moving Pictures</w:t>
      </w:r>
      <w:r w:rsidRPr="000D7BD5">
        <w:rPr>
          <w:rFonts w:ascii="Arial" w:eastAsia="Arial" w:hAnsi="Arial" w:cs="Arial"/>
          <w:color w:val="000000" w:themeColor="text1"/>
        </w:rPr>
        <w:t xml:space="preserve"> (Bantam Books), climbed The New York Times’ bestsellers list and went on to become an international bestseller. She also teamed up with Warner Home Video to create the instructional yoga video, “Yoga </w:t>
      </w:r>
      <w:r w:rsidRPr="000D7BD5">
        <w:rPr>
          <w:rFonts w:ascii="Arial" w:eastAsia="Arial" w:hAnsi="Arial" w:cs="Arial"/>
          <w:color w:val="000000" w:themeColor="text1"/>
        </w:rPr>
        <w:lastRenderedPageBreak/>
        <w:t xml:space="preserve">Mind &amp; Body.” </w:t>
      </w:r>
      <w:proofErr w:type="spellStart"/>
      <w:r w:rsidRPr="000D7BD5">
        <w:rPr>
          <w:rFonts w:ascii="Arial" w:eastAsia="Arial" w:hAnsi="Arial" w:cs="Arial"/>
          <w:color w:val="000000" w:themeColor="text1"/>
        </w:rPr>
        <w:t>MacGraw</w:t>
      </w:r>
      <w:proofErr w:type="spellEnd"/>
      <w:r w:rsidRPr="000D7BD5">
        <w:rPr>
          <w:rFonts w:ascii="Arial" w:eastAsia="Arial" w:hAnsi="Arial" w:cs="Arial"/>
          <w:color w:val="000000" w:themeColor="text1"/>
        </w:rPr>
        <w:t xml:space="preserve"> currently lives in New Mexico. She travels extensively, appearing in documentaries and working on behalf of numerous social, animal and environmental causes. </w:t>
      </w:r>
    </w:p>
    <w:p w14:paraId="3C7F397E" w14:textId="77777777" w:rsidR="00041AF2" w:rsidRPr="000D7BD5" w:rsidRDefault="00041AF2">
      <w:pPr>
        <w:tabs>
          <w:tab w:val="left" w:pos="8820"/>
        </w:tabs>
        <w:spacing w:line="360" w:lineRule="auto"/>
        <w:ind w:right="180"/>
        <w:rPr>
          <w:rFonts w:ascii="Arial" w:eastAsia="Arial" w:hAnsi="Arial" w:cs="Arial"/>
          <w:b/>
          <w:color w:val="000000" w:themeColor="text1"/>
        </w:rPr>
      </w:pPr>
    </w:p>
    <w:p w14:paraId="77CD7BB3" w14:textId="77777777" w:rsidR="00041AF2" w:rsidRPr="000D7BD5" w:rsidRDefault="00195482">
      <w:pPr>
        <w:tabs>
          <w:tab w:val="left" w:pos="8820"/>
        </w:tabs>
        <w:spacing w:line="360" w:lineRule="auto"/>
        <w:ind w:right="180"/>
        <w:rPr>
          <w:rFonts w:ascii="Arial" w:eastAsia="Arial" w:hAnsi="Arial" w:cs="Arial"/>
          <w:b/>
          <w:color w:val="000000" w:themeColor="text1"/>
        </w:rPr>
      </w:pPr>
      <w:r w:rsidRPr="000D7BD5">
        <w:rPr>
          <w:rFonts w:ascii="Arial" w:eastAsia="Arial" w:hAnsi="Arial" w:cs="Arial"/>
          <w:b/>
          <w:color w:val="000000" w:themeColor="text1"/>
        </w:rPr>
        <w:t xml:space="preserve">About the Hermitage Artist Retreat: </w:t>
      </w:r>
    </w:p>
    <w:p w14:paraId="210F7592" w14:textId="77777777" w:rsidR="00041AF2" w:rsidRPr="000D7BD5" w:rsidRDefault="00195482">
      <w:pPr>
        <w:tabs>
          <w:tab w:val="left" w:pos="8820"/>
        </w:tabs>
        <w:spacing w:line="360" w:lineRule="auto"/>
        <w:ind w:right="180"/>
        <w:rPr>
          <w:rFonts w:ascii="Arial" w:eastAsia="Arial" w:hAnsi="Arial" w:cs="Arial"/>
          <w:color w:val="000000" w:themeColor="text1"/>
          <w:sz w:val="22"/>
          <w:szCs w:val="22"/>
        </w:rPr>
      </w:pPr>
      <w:bookmarkStart w:id="4" w:name="_3znysh7" w:colFirst="0" w:colLast="0"/>
      <w:bookmarkEnd w:id="4"/>
      <w:r w:rsidRPr="000D7BD5">
        <w:rPr>
          <w:rFonts w:ascii="Arial" w:eastAsia="Arial" w:hAnsi="Arial" w:cs="Arial"/>
          <w:color w:val="000000" w:themeColor="text1"/>
          <w:sz w:val="22"/>
          <w:szCs w:val="22"/>
        </w:rPr>
        <w:t xml:space="preserve">The Hermitage is a nonprofit artist retreat located in Englewood, Sarasota County, Florida. It invites accomplished artists in all disciplines for residencies on its beachfront campus which is on the National Register of Historic Places. Its artists, who are asked to interact with the community, touch thousands of Gulf Coast residents and visitors with unique and inspiring programs. Hermitage fellows have included Pulitzer, Tony, Emmy, Grammy and MacArthur Fellowship award winners. The Hermitage awards the $30,000 Greenfield Prize for a new work of art, and the Aspen Music Festival awards the annual Hermitage Prize in Composition. For more information about The Hermitage Artist Retreat, visit </w:t>
      </w:r>
      <w:r w:rsidRPr="000D7BD5">
        <w:rPr>
          <w:rFonts w:ascii="Arial" w:eastAsia="Arial" w:hAnsi="Arial" w:cs="Arial"/>
          <w:color w:val="000000" w:themeColor="text1"/>
          <w:sz w:val="22"/>
          <w:szCs w:val="22"/>
          <w:u w:val="single"/>
        </w:rPr>
        <w:t>www.HermitageArtistRetreat.org</w:t>
      </w:r>
      <w:r w:rsidRPr="000D7BD5">
        <w:rPr>
          <w:rFonts w:ascii="Arial" w:eastAsia="Arial" w:hAnsi="Arial" w:cs="Arial"/>
          <w:color w:val="000000" w:themeColor="text1"/>
          <w:sz w:val="22"/>
          <w:szCs w:val="22"/>
        </w:rPr>
        <w:t>.</w:t>
      </w:r>
    </w:p>
    <w:p w14:paraId="691E191C" w14:textId="77777777" w:rsidR="00041AF2" w:rsidRPr="000D7BD5" w:rsidRDefault="00041AF2">
      <w:pPr>
        <w:tabs>
          <w:tab w:val="left" w:pos="8820"/>
        </w:tabs>
        <w:spacing w:line="360" w:lineRule="auto"/>
        <w:ind w:right="180"/>
        <w:rPr>
          <w:rFonts w:ascii="Arial" w:eastAsia="Arial" w:hAnsi="Arial" w:cs="Arial"/>
          <w:color w:val="000000" w:themeColor="text1"/>
          <w:sz w:val="22"/>
          <w:szCs w:val="22"/>
        </w:rPr>
      </w:pPr>
    </w:p>
    <w:p w14:paraId="42B6346B" w14:textId="77777777" w:rsidR="00041AF2" w:rsidRPr="000D7BD5" w:rsidRDefault="00195482">
      <w:pPr>
        <w:tabs>
          <w:tab w:val="left" w:pos="8820"/>
        </w:tabs>
        <w:spacing w:line="360" w:lineRule="auto"/>
        <w:ind w:right="180"/>
        <w:rPr>
          <w:rFonts w:ascii="Arial" w:eastAsia="Arial" w:hAnsi="Arial" w:cs="Arial"/>
          <w:b/>
          <w:color w:val="000000" w:themeColor="text1"/>
          <w:sz w:val="22"/>
          <w:szCs w:val="22"/>
        </w:rPr>
      </w:pPr>
      <w:r w:rsidRPr="000D7BD5">
        <w:rPr>
          <w:rFonts w:ascii="Arial" w:eastAsia="Arial" w:hAnsi="Arial" w:cs="Arial"/>
          <w:b/>
          <w:color w:val="000000" w:themeColor="text1"/>
          <w:sz w:val="22"/>
          <w:szCs w:val="22"/>
        </w:rPr>
        <w:t>The Hermitage is supported by:</w:t>
      </w:r>
    </w:p>
    <w:p w14:paraId="6305C044" w14:textId="77777777" w:rsidR="00041AF2" w:rsidRPr="000D7BD5" w:rsidRDefault="00195482">
      <w:pPr>
        <w:tabs>
          <w:tab w:val="left" w:pos="8820"/>
        </w:tabs>
        <w:spacing w:line="360" w:lineRule="auto"/>
        <w:ind w:right="180"/>
        <w:rPr>
          <w:rFonts w:ascii="Arial" w:eastAsia="Arial" w:hAnsi="Arial" w:cs="Arial"/>
          <w:color w:val="000000" w:themeColor="text1"/>
          <w:sz w:val="22"/>
          <w:szCs w:val="22"/>
        </w:rPr>
      </w:pPr>
      <w:r w:rsidRPr="000D7BD5">
        <w:rPr>
          <w:rFonts w:ascii="Arial" w:eastAsia="Arial" w:hAnsi="Arial" w:cs="Arial"/>
          <w:color w:val="000000" w:themeColor="text1"/>
          <w:sz w:val="22"/>
          <w:szCs w:val="22"/>
        </w:rPr>
        <w:t>Hermitage programs are supported, in part, by philanthropist Gerri Aaron; by an award from the National Endowment for the Arts; by Sarasota County Tourist Development Tax Revenues; and by the Department of State, Division of Cultural Affairs, the Florida Council of Arts and Culture and the State of Florida (Section 286.25 Florida Statutes).</w:t>
      </w:r>
      <w:r w:rsidRPr="000D7BD5">
        <w:rPr>
          <w:rFonts w:ascii="Arial" w:eastAsia="Arial" w:hAnsi="Arial" w:cs="Arial"/>
          <w:color w:val="000000" w:themeColor="text1"/>
          <w:sz w:val="22"/>
          <w:szCs w:val="22"/>
        </w:rPr>
        <w:tab/>
      </w:r>
    </w:p>
    <w:sectPr w:rsidR="00041AF2" w:rsidRPr="000D7B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DE9BB" w14:textId="77777777" w:rsidR="006513B2" w:rsidRDefault="006513B2">
      <w:r>
        <w:separator/>
      </w:r>
    </w:p>
  </w:endnote>
  <w:endnote w:type="continuationSeparator" w:id="0">
    <w:p w14:paraId="1F46D53A" w14:textId="77777777" w:rsidR="006513B2" w:rsidRDefault="0065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359D9" w14:textId="77777777" w:rsidR="00041AF2" w:rsidRDefault="00041AF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7C686" w14:textId="77777777" w:rsidR="00041AF2" w:rsidRDefault="00041AF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9B593" w14:textId="77777777" w:rsidR="00041AF2" w:rsidRDefault="00041AF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95441" w14:textId="77777777" w:rsidR="006513B2" w:rsidRDefault="006513B2">
      <w:r>
        <w:separator/>
      </w:r>
    </w:p>
  </w:footnote>
  <w:footnote w:type="continuationSeparator" w:id="0">
    <w:p w14:paraId="1B88FFB6" w14:textId="77777777" w:rsidR="006513B2" w:rsidRDefault="006513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AFC92" w14:textId="77777777" w:rsidR="00041AF2" w:rsidRDefault="00041AF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A94F4" w14:textId="77777777" w:rsidR="00041AF2" w:rsidRDefault="00041AF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74267" w14:textId="77777777" w:rsidR="00041AF2" w:rsidRDefault="00041AF2">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F2"/>
    <w:rsid w:val="00041AF2"/>
    <w:rsid w:val="000D7BD5"/>
    <w:rsid w:val="00195482"/>
    <w:rsid w:val="006513B2"/>
    <w:rsid w:val="00DF088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A500"/>
  <w15:docId w15:val="{A368657E-49C6-41D6-B9C1-8582ED1F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3659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Byron</dc:creator>
  <cp:lastModifiedBy>Microsoft Office User</cp:lastModifiedBy>
  <cp:revision>3</cp:revision>
  <dcterms:created xsi:type="dcterms:W3CDTF">2018-11-06T11:39:00Z</dcterms:created>
  <dcterms:modified xsi:type="dcterms:W3CDTF">2018-11-07T10:43:00Z</dcterms:modified>
</cp:coreProperties>
</file>